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EE" w:rsidRPr="002E2643" w:rsidRDefault="003D4FEE" w:rsidP="002E26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>Назва модуля</w:t>
      </w:r>
      <w:r w:rsidRPr="002E2643">
        <w:rPr>
          <w:rFonts w:ascii="Arial" w:hAnsi="Arial" w:cs="Arial"/>
          <w:sz w:val="24"/>
          <w:szCs w:val="24"/>
        </w:rPr>
        <w:t>: Технології роботи соціального педагога в зарубіжних країнах</w:t>
      </w:r>
    </w:p>
    <w:p w:rsidR="00F82463" w:rsidRPr="002E2643" w:rsidRDefault="003D4FEE" w:rsidP="002E26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>Код модуля:</w:t>
      </w:r>
      <w:r w:rsidRPr="002E2643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E2643">
        <w:rPr>
          <w:rFonts w:ascii="Arial" w:hAnsi="Arial" w:cs="Arial"/>
          <w:sz w:val="24"/>
          <w:szCs w:val="24"/>
        </w:rPr>
        <w:t>СПСР_6_1.27_4</w:t>
      </w:r>
      <w:bookmarkEnd w:id="0"/>
    </w:p>
    <w:p w:rsidR="003D4FEE" w:rsidRPr="002E2643" w:rsidRDefault="003D4FEE" w:rsidP="002E26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>Тип модуля</w:t>
      </w:r>
      <w:r w:rsidRPr="002E2643">
        <w:rPr>
          <w:rFonts w:ascii="Arial" w:hAnsi="Arial" w:cs="Arial"/>
          <w:sz w:val="24"/>
          <w:szCs w:val="24"/>
        </w:rPr>
        <w:t>: обов’язковий</w:t>
      </w:r>
    </w:p>
    <w:p w:rsidR="003D4FEE" w:rsidRPr="002E2643" w:rsidRDefault="003D4FEE" w:rsidP="002E26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 xml:space="preserve">Семестр: </w:t>
      </w:r>
      <w:r w:rsidR="00F82463" w:rsidRPr="002E2643">
        <w:rPr>
          <w:rFonts w:ascii="Arial" w:hAnsi="Arial" w:cs="Arial"/>
          <w:sz w:val="24"/>
          <w:szCs w:val="24"/>
        </w:rPr>
        <w:t>7</w:t>
      </w:r>
    </w:p>
    <w:p w:rsidR="003D4FEE" w:rsidRPr="002E2643" w:rsidRDefault="003D4FEE" w:rsidP="002E26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>Обсяг модуля:</w:t>
      </w:r>
      <w:r w:rsidR="00F82463" w:rsidRPr="002E2643">
        <w:rPr>
          <w:rFonts w:ascii="Arial" w:hAnsi="Arial" w:cs="Arial"/>
          <w:sz w:val="24"/>
          <w:szCs w:val="24"/>
        </w:rPr>
        <w:t xml:space="preserve"> загальна кількість годин – </w:t>
      </w:r>
      <w:r w:rsidR="002E2643">
        <w:rPr>
          <w:rFonts w:ascii="Arial" w:hAnsi="Arial" w:cs="Arial"/>
          <w:sz w:val="24"/>
          <w:szCs w:val="24"/>
        </w:rPr>
        <w:t>120</w:t>
      </w:r>
      <w:r w:rsidR="004C397B" w:rsidRPr="002E2643">
        <w:rPr>
          <w:rFonts w:ascii="Arial" w:hAnsi="Arial" w:cs="Arial"/>
          <w:sz w:val="24"/>
          <w:szCs w:val="24"/>
        </w:rPr>
        <w:t xml:space="preserve"> (кредитів ЄКТС – </w:t>
      </w:r>
      <w:r w:rsidR="002E2643">
        <w:rPr>
          <w:rFonts w:ascii="Arial" w:hAnsi="Arial" w:cs="Arial"/>
          <w:sz w:val="24"/>
          <w:szCs w:val="24"/>
        </w:rPr>
        <w:t>4</w:t>
      </w:r>
      <w:r w:rsidR="004C397B" w:rsidRPr="002E2643">
        <w:rPr>
          <w:rFonts w:ascii="Arial" w:hAnsi="Arial" w:cs="Arial"/>
          <w:sz w:val="24"/>
          <w:szCs w:val="24"/>
        </w:rPr>
        <w:t xml:space="preserve">), аудиторні години – </w:t>
      </w:r>
      <w:r w:rsidR="002E2643">
        <w:rPr>
          <w:rFonts w:ascii="Arial" w:hAnsi="Arial" w:cs="Arial"/>
          <w:sz w:val="24"/>
          <w:szCs w:val="24"/>
        </w:rPr>
        <w:t xml:space="preserve">40 </w:t>
      </w:r>
      <w:r w:rsidRPr="002E2643">
        <w:rPr>
          <w:rFonts w:ascii="Arial" w:hAnsi="Arial" w:cs="Arial"/>
          <w:sz w:val="24"/>
          <w:szCs w:val="24"/>
        </w:rPr>
        <w:t xml:space="preserve">(  </w:t>
      </w:r>
      <w:r w:rsidR="004C397B" w:rsidRPr="002E2643">
        <w:rPr>
          <w:rFonts w:ascii="Arial" w:hAnsi="Arial" w:cs="Arial"/>
          <w:sz w:val="24"/>
          <w:szCs w:val="24"/>
        </w:rPr>
        <w:t xml:space="preserve">лекцій – </w:t>
      </w:r>
      <w:r w:rsidR="002E2643">
        <w:rPr>
          <w:rFonts w:ascii="Arial" w:hAnsi="Arial" w:cs="Arial"/>
          <w:sz w:val="24"/>
          <w:szCs w:val="24"/>
        </w:rPr>
        <w:t>16</w:t>
      </w:r>
      <w:r w:rsidR="004C397B" w:rsidRPr="002E2643">
        <w:rPr>
          <w:rFonts w:ascii="Arial" w:hAnsi="Arial" w:cs="Arial"/>
          <w:sz w:val="24"/>
          <w:szCs w:val="24"/>
        </w:rPr>
        <w:t>, практичні заняття –</w:t>
      </w:r>
      <w:r w:rsidR="002E2643">
        <w:rPr>
          <w:rFonts w:ascii="Arial" w:hAnsi="Arial" w:cs="Arial"/>
          <w:sz w:val="24"/>
          <w:szCs w:val="24"/>
        </w:rPr>
        <w:t xml:space="preserve"> 24</w:t>
      </w:r>
      <w:r w:rsidRPr="002E2643">
        <w:rPr>
          <w:rFonts w:ascii="Arial" w:hAnsi="Arial" w:cs="Arial"/>
          <w:sz w:val="24"/>
          <w:szCs w:val="24"/>
        </w:rPr>
        <w:t>)</w:t>
      </w:r>
    </w:p>
    <w:p w:rsidR="003D4FEE" w:rsidRPr="002E2643" w:rsidRDefault="003D4FEE" w:rsidP="002E26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>Викладач:</w:t>
      </w:r>
      <w:r w:rsidRPr="002E2643">
        <w:rPr>
          <w:rFonts w:ascii="Arial" w:hAnsi="Arial" w:cs="Arial"/>
          <w:sz w:val="24"/>
          <w:szCs w:val="24"/>
        </w:rPr>
        <w:t xml:space="preserve"> </w:t>
      </w:r>
      <w:r w:rsidR="004C397B" w:rsidRPr="002E2643">
        <w:rPr>
          <w:rFonts w:ascii="Arial" w:hAnsi="Arial" w:cs="Arial"/>
          <w:sz w:val="24"/>
          <w:szCs w:val="24"/>
        </w:rPr>
        <w:t>Клименко Юлія Анатоліївна</w:t>
      </w:r>
      <w:r w:rsidRPr="002E2643">
        <w:rPr>
          <w:rFonts w:ascii="Arial" w:hAnsi="Arial" w:cs="Arial"/>
          <w:sz w:val="24"/>
          <w:szCs w:val="24"/>
        </w:rPr>
        <w:t xml:space="preserve"> – кандидат </w:t>
      </w:r>
      <w:r w:rsidR="004C397B" w:rsidRPr="002E2643">
        <w:rPr>
          <w:rFonts w:ascii="Arial" w:hAnsi="Arial" w:cs="Arial"/>
          <w:sz w:val="24"/>
          <w:szCs w:val="24"/>
        </w:rPr>
        <w:t>педаго</w:t>
      </w:r>
      <w:r w:rsidRPr="002E2643">
        <w:rPr>
          <w:rFonts w:ascii="Arial" w:hAnsi="Arial" w:cs="Arial"/>
          <w:sz w:val="24"/>
          <w:szCs w:val="24"/>
        </w:rPr>
        <w:t xml:space="preserve">гічних наук, </w:t>
      </w:r>
      <w:r w:rsidR="004C397B" w:rsidRPr="002E2643">
        <w:rPr>
          <w:rFonts w:ascii="Arial" w:hAnsi="Arial" w:cs="Arial"/>
          <w:sz w:val="24"/>
          <w:szCs w:val="24"/>
        </w:rPr>
        <w:t>старший викладач</w:t>
      </w:r>
    </w:p>
    <w:p w:rsidR="003D4FEE" w:rsidRPr="002E2643" w:rsidRDefault="003D4FEE" w:rsidP="002E264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>Результати навчання:</w:t>
      </w:r>
    </w:p>
    <w:p w:rsidR="003D4FEE" w:rsidRPr="002E2643" w:rsidRDefault="003D4FEE" w:rsidP="002E2643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2E2643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2E2643">
        <w:rPr>
          <w:rFonts w:ascii="Arial" w:hAnsi="Arial" w:cs="Arial"/>
          <w:b/>
          <w:sz w:val="24"/>
          <w:szCs w:val="24"/>
        </w:rPr>
        <w:t>повинен</w:t>
      </w:r>
      <w:r w:rsidRPr="002E2643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4C397B" w:rsidRPr="002E2643" w:rsidRDefault="003D4FEE" w:rsidP="002E2643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E2643">
        <w:rPr>
          <w:rFonts w:ascii="Arial" w:hAnsi="Arial" w:cs="Arial"/>
          <w:b/>
          <w:sz w:val="24"/>
          <w:szCs w:val="24"/>
          <w:lang w:val="ru-RU"/>
        </w:rPr>
        <w:t xml:space="preserve">        </w:t>
      </w:r>
      <w:r w:rsidRPr="002E2643">
        <w:rPr>
          <w:rFonts w:ascii="Arial" w:hAnsi="Arial" w:cs="Arial"/>
          <w:b/>
          <w:sz w:val="24"/>
          <w:szCs w:val="24"/>
        </w:rPr>
        <w:t>знати:</w:t>
      </w:r>
      <w:r w:rsidRPr="002E264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C397B" w:rsidRPr="002E2643">
        <w:rPr>
          <w:rFonts w:ascii="Arial" w:hAnsi="Arial" w:cs="Arial"/>
          <w:color w:val="000000"/>
          <w:sz w:val="24"/>
          <w:szCs w:val="24"/>
          <w:lang w:eastAsia="ru-RU"/>
        </w:rPr>
        <w:t>характеристику загальних технологій роботи соціального педагога і технологій організації соціально-педагогічної роботи з різними групами клієнтів у зарубіжних країнах; можливості та умови ефективної реалізації загальнонаукових та специфічних методів у практиці соціальної роботи; історію виникнення соціальної роботи; зарубіжний досвід підготовки соціального педагога</w:t>
      </w:r>
      <w:r w:rsidR="00D839B4" w:rsidRPr="002E2643"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r w:rsidR="004C397B" w:rsidRPr="002E2643">
        <w:rPr>
          <w:rFonts w:ascii="Arial" w:hAnsi="Arial" w:cs="Arial"/>
          <w:color w:val="000000"/>
          <w:sz w:val="24"/>
          <w:szCs w:val="24"/>
          <w:lang w:eastAsia="ru-RU"/>
        </w:rPr>
        <w:t xml:space="preserve"> сучасний стан соціальної роботи у США, </w:t>
      </w:r>
      <w:r w:rsidR="00D839B4" w:rsidRPr="002E2643">
        <w:rPr>
          <w:rFonts w:ascii="Arial" w:hAnsi="Arial" w:cs="Arial"/>
          <w:color w:val="000000"/>
          <w:sz w:val="24"/>
          <w:szCs w:val="24"/>
          <w:lang w:eastAsia="ru-RU"/>
        </w:rPr>
        <w:t>та Західній Європі</w:t>
      </w:r>
      <w:r w:rsidR="004C397B" w:rsidRPr="002E26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A5282" w:rsidRPr="002E2643" w:rsidRDefault="003D4FEE" w:rsidP="002E2643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E2643">
        <w:rPr>
          <w:rFonts w:ascii="Arial" w:hAnsi="Arial" w:cs="Arial"/>
          <w:b/>
          <w:sz w:val="24"/>
          <w:szCs w:val="24"/>
        </w:rPr>
        <w:t xml:space="preserve">        вміти: </w:t>
      </w:r>
      <w:r w:rsidR="002A5282" w:rsidRPr="002E2643">
        <w:rPr>
          <w:rFonts w:ascii="Arial" w:hAnsi="Arial" w:cs="Arial"/>
          <w:color w:val="000000"/>
          <w:sz w:val="24"/>
          <w:szCs w:val="24"/>
          <w:lang w:eastAsia="ru-RU"/>
        </w:rPr>
        <w:t>добирати та адаптувати відповідно до мети, особливостей клієнтів і реальної ситуації технології, методи та прийоми реалізації завдань роботи соціального педагога; давати об’єктивну оцінку соціальній політиці й уміти обґрунтувати альтернативні її варіанти; аналізувати педагогічні явища та формувати власний погляд і оцінку ідей, концепцій соціальної роботи, а також практичних проблем соціальної</w:t>
      </w:r>
      <w:r w:rsidR="000737AB" w:rsidRPr="002E2643">
        <w:rPr>
          <w:rFonts w:ascii="Arial" w:hAnsi="Arial" w:cs="Arial"/>
          <w:color w:val="000000"/>
          <w:sz w:val="24"/>
          <w:szCs w:val="24"/>
          <w:lang w:eastAsia="ru-RU"/>
        </w:rPr>
        <w:t xml:space="preserve"> освіти в різних країнах світу.</w:t>
      </w:r>
    </w:p>
    <w:p w:rsidR="003D4FEE" w:rsidRPr="002E2643" w:rsidRDefault="003D4FEE" w:rsidP="002E2643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>Спосіб навчання: аудиторне.</w:t>
      </w:r>
    </w:p>
    <w:p w:rsidR="003D4FEE" w:rsidRPr="002E2643" w:rsidRDefault="003D4FEE" w:rsidP="002E2643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 xml:space="preserve">Необхідні обов’язкові попередні та супутні модулі: </w:t>
      </w:r>
    </w:p>
    <w:p w:rsidR="003D4FEE" w:rsidRPr="002E2643" w:rsidRDefault="002A5282" w:rsidP="002E2643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sz w:val="24"/>
          <w:szCs w:val="24"/>
        </w:rPr>
        <w:t>Соціальна педагогіка</w:t>
      </w:r>
    </w:p>
    <w:p w:rsidR="00A55064" w:rsidRPr="002E2643" w:rsidRDefault="003D4FEE" w:rsidP="002E2643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E2643">
        <w:rPr>
          <w:rFonts w:ascii="Arial" w:hAnsi="Arial" w:cs="Arial"/>
          <w:b/>
          <w:sz w:val="24"/>
          <w:szCs w:val="24"/>
        </w:rPr>
        <w:t>Зміст модуля:</w:t>
      </w:r>
      <w:r w:rsidRPr="002E2643">
        <w:rPr>
          <w:rFonts w:ascii="Arial" w:hAnsi="Arial" w:cs="Arial"/>
          <w:sz w:val="24"/>
          <w:szCs w:val="24"/>
        </w:rPr>
        <w:t xml:space="preserve"> </w:t>
      </w:r>
      <w:r w:rsidR="00A55064" w:rsidRPr="002E2643">
        <w:rPr>
          <w:rFonts w:ascii="Arial" w:hAnsi="Arial" w:cs="Arial"/>
          <w:sz w:val="24"/>
          <w:szCs w:val="24"/>
        </w:rPr>
        <w:t xml:space="preserve">Теоретичні засади роботи соціального педагога у зарубіжних країнах; </w:t>
      </w:r>
      <w:r w:rsidR="00A55064" w:rsidRPr="002E2643">
        <w:rPr>
          <w:rFonts w:ascii="Arial" w:hAnsi="Arial" w:cs="Arial"/>
          <w:bCs/>
          <w:spacing w:val="1"/>
          <w:sz w:val="24"/>
          <w:szCs w:val="24"/>
          <w:lang w:eastAsia="ru-RU"/>
        </w:rPr>
        <w:t xml:space="preserve">Технології передбачення у роботі соціального педагога зарубіжних країн. </w:t>
      </w:r>
      <w:r w:rsidR="00A55064" w:rsidRPr="002E2643">
        <w:rPr>
          <w:rFonts w:ascii="Arial" w:hAnsi="Arial" w:cs="Arial"/>
          <w:bCs/>
          <w:sz w:val="24"/>
          <w:szCs w:val="24"/>
          <w:lang w:eastAsia="ru-RU"/>
        </w:rPr>
        <w:t xml:space="preserve">Технологія реалізації соціальним педагогом зарубіжних країн діагностичної та прогностичної функцій. </w:t>
      </w:r>
      <w:r w:rsidR="00A55064" w:rsidRPr="002E2643">
        <w:rPr>
          <w:rFonts w:ascii="Arial" w:hAnsi="Arial" w:cs="Arial"/>
          <w:bCs/>
          <w:sz w:val="24"/>
          <w:szCs w:val="24"/>
        </w:rPr>
        <w:t xml:space="preserve">Технологія реалізації соціальним педагогом комунікативної функції. </w:t>
      </w:r>
      <w:r w:rsidR="00A55064" w:rsidRPr="002E2643">
        <w:rPr>
          <w:rFonts w:ascii="Arial" w:hAnsi="Arial" w:cs="Arial"/>
          <w:bCs/>
          <w:sz w:val="24"/>
          <w:szCs w:val="24"/>
          <w:lang w:eastAsia="ru-RU"/>
        </w:rPr>
        <w:t>Технологія реалізації соціальним педагогом психотерапевтичної функції. Технологія реалізації соціальним педагогом зарубіжних країн консультативної функції. Особливості роботи соціального педагога у США та Західній Європі.</w:t>
      </w:r>
    </w:p>
    <w:p w:rsidR="003D4FEE" w:rsidRPr="002E2643" w:rsidRDefault="003D4FEE" w:rsidP="002E2643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>Рекомендована література:</w:t>
      </w:r>
    </w:p>
    <w:p w:rsidR="000737AB" w:rsidRPr="002E2643" w:rsidRDefault="000737AB" w:rsidP="002E2643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clear" w:pos="2084"/>
          <w:tab w:val="num" w:pos="0"/>
          <w:tab w:val="left" w:pos="288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2E2643">
        <w:rPr>
          <w:rFonts w:ascii="Arial" w:hAnsi="Arial" w:cs="Arial"/>
          <w:color w:val="000000"/>
          <w:sz w:val="24"/>
          <w:szCs w:val="24"/>
        </w:rPr>
        <w:t xml:space="preserve">Методика и технологи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работы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социального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 педагога :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Учеб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пособие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 для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студ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высш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. пед.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учеб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. заведений /Б.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Алмазов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, М.А.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Беляева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, Н.С.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Бессонова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..; Под. ред. М.А.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Галагузовой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, Л.В.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Мардахаева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. – М.: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Издательский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 xml:space="preserve"> центр «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Академия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>», 2002. – 192 с.</w:t>
      </w:r>
    </w:p>
    <w:p w:rsidR="000737AB" w:rsidRPr="002E2643" w:rsidRDefault="000737AB" w:rsidP="002E2643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clear" w:pos="2084"/>
          <w:tab w:val="num" w:pos="0"/>
          <w:tab w:val="left" w:pos="288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2E2643">
        <w:rPr>
          <w:rFonts w:ascii="Arial" w:hAnsi="Arial" w:cs="Arial"/>
          <w:color w:val="000000"/>
          <w:sz w:val="24"/>
          <w:szCs w:val="24"/>
        </w:rPr>
        <w:t xml:space="preserve">Соціальна педагогіка: Підручник / За ред. проф. А.Й. </w:t>
      </w:r>
      <w:proofErr w:type="spellStart"/>
      <w:r w:rsidRPr="002E2643">
        <w:rPr>
          <w:rFonts w:ascii="Arial" w:hAnsi="Arial" w:cs="Arial"/>
          <w:color w:val="000000"/>
          <w:sz w:val="24"/>
          <w:szCs w:val="24"/>
        </w:rPr>
        <w:t>Капської</w:t>
      </w:r>
      <w:proofErr w:type="spellEnd"/>
      <w:r w:rsidRPr="002E2643">
        <w:rPr>
          <w:rFonts w:ascii="Arial" w:hAnsi="Arial" w:cs="Arial"/>
          <w:color w:val="000000"/>
          <w:sz w:val="24"/>
          <w:szCs w:val="24"/>
        </w:rPr>
        <w:t>. – К.: Центр навчальної літератури, 2006. – 256 с.</w:t>
      </w:r>
    </w:p>
    <w:p w:rsidR="000737AB" w:rsidRPr="002E2643" w:rsidRDefault="000737AB" w:rsidP="002E2643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clear" w:pos="2084"/>
          <w:tab w:val="num" w:pos="0"/>
          <w:tab w:val="left" w:pos="288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2E2643">
        <w:rPr>
          <w:rFonts w:ascii="Arial" w:hAnsi="Arial" w:cs="Arial"/>
          <w:color w:val="000000"/>
          <w:sz w:val="24"/>
          <w:szCs w:val="24"/>
        </w:rPr>
        <w:t xml:space="preserve">Соціальна педагогіка: теорія і технології. Підручник / За ред. І.Д. Звєрєвої. – </w:t>
      </w:r>
      <w:r w:rsidRPr="002E2643">
        <w:rPr>
          <w:rFonts w:ascii="Arial" w:hAnsi="Arial" w:cs="Arial"/>
          <w:sz w:val="24"/>
          <w:szCs w:val="24"/>
        </w:rPr>
        <w:t>К.: Центр навчальної літератури, 2006. – 316 с.</w:t>
      </w:r>
    </w:p>
    <w:p w:rsidR="000737AB" w:rsidRPr="002E2643" w:rsidRDefault="000737AB" w:rsidP="002E2643">
      <w:pPr>
        <w:pStyle w:val="a3"/>
        <w:numPr>
          <w:ilvl w:val="2"/>
          <w:numId w:val="1"/>
        </w:numPr>
        <w:tabs>
          <w:tab w:val="clear" w:pos="2084"/>
          <w:tab w:val="num" w:pos="0"/>
        </w:tabs>
        <w:ind w:left="142" w:right="-432" w:firstLine="425"/>
        <w:jc w:val="both"/>
        <w:rPr>
          <w:rFonts w:ascii="Arial" w:hAnsi="Arial" w:cs="Arial"/>
          <w:sz w:val="24"/>
          <w:szCs w:val="24"/>
        </w:rPr>
      </w:pPr>
      <w:proofErr w:type="spellStart"/>
      <w:r w:rsidRPr="002E2643">
        <w:rPr>
          <w:rFonts w:ascii="Arial" w:hAnsi="Arial" w:cs="Arial"/>
          <w:sz w:val="24"/>
          <w:szCs w:val="24"/>
        </w:rPr>
        <w:t>Johnson</w:t>
      </w:r>
      <w:proofErr w:type="spellEnd"/>
      <w:r w:rsidRPr="002E264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E2643">
        <w:rPr>
          <w:rFonts w:ascii="Arial" w:hAnsi="Arial" w:cs="Arial"/>
          <w:sz w:val="24"/>
          <w:szCs w:val="24"/>
        </w:rPr>
        <w:t>Louise</w:t>
      </w:r>
      <w:proofErr w:type="spellEnd"/>
      <w:r w:rsidRPr="002E264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E2643">
        <w:rPr>
          <w:rFonts w:ascii="Arial" w:hAnsi="Arial" w:cs="Arial"/>
          <w:sz w:val="24"/>
          <w:szCs w:val="24"/>
        </w:rPr>
        <w:t>and</w:t>
      </w:r>
      <w:proofErr w:type="spellEnd"/>
      <w:r w:rsidRPr="002E264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2643">
        <w:rPr>
          <w:rFonts w:ascii="Arial" w:hAnsi="Arial" w:cs="Arial"/>
          <w:sz w:val="24"/>
          <w:szCs w:val="24"/>
        </w:rPr>
        <w:t>Stephen</w:t>
      </w:r>
      <w:proofErr w:type="spellEnd"/>
      <w:r w:rsidRPr="002E264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2643">
        <w:rPr>
          <w:rFonts w:ascii="Arial" w:hAnsi="Arial" w:cs="Arial"/>
          <w:sz w:val="24"/>
          <w:szCs w:val="24"/>
        </w:rPr>
        <w:t>Yanca</w:t>
      </w:r>
      <w:proofErr w:type="spellEnd"/>
      <w:r w:rsidRPr="002E264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E2643">
        <w:rPr>
          <w:rFonts w:ascii="Arial" w:hAnsi="Arial" w:cs="Arial"/>
          <w:sz w:val="24"/>
          <w:szCs w:val="24"/>
        </w:rPr>
        <w:t>Social</w:t>
      </w:r>
      <w:proofErr w:type="spellEnd"/>
      <w:r w:rsidRPr="002E26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43">
        <w:rPr>
          <w:rFonts w:ascii="Arial" w:hAnsi="Arial" w:cs="Arial"/>
          <w:sz w:val="24"/>
          <w:szCs w:val="24"/>
        </w:rPr>
        <w:t>Work</w:t>
      </w:r>
      <w:proofErr w:type="spellEnd"/>
      <w:r w:rsidRPr="002E26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43">
        <w:rPr>
          <w:rFonts w:ascii="Arial" w:hAnsi="Arial" w:cs="Arial"/>
          <w:sz w:val="24"/>
          <w:szCs w:val="24"/>
        </w:rPr>
        <w:t>Practice</w:t>
      </w:r>
      <w:proofErr w:type="spellEnd"/>
      <w:r w:rsidRPr="002E2643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2E2643">
        <w:rPr>
          <w:rFonts w:ascii="Arial" w:hAnsi="Arial" w:cs="Arial"/>
          <w:sz w:val="24"/>
          <w:szCs w:val="24"/>
        </w:rPr>
        <w:t>Generalist</w:t>
      </w:r>
      <w:proofErr w:type="spellEnd"/>
      <w:r w:rsidRPr="002E26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43">
        <w:rPr>
          <w:rFonts w:ascii="Arial" w:hAnsi="Arial" w:cs="Arial"/>
          <w:sz w:val="24"/>
          <w:szCs w:val="24"/>
        </w:rPr>
        <w:t>Approach</w:t>
      </w:r>
      <w:proofErr w:type="spellEnd"/>
      <w:r w:rsidRPr="002E2643">
        <w:rPr>
          <w:rFonts w:ascii="Arial" w:hAnsi="Arial" w:cs="Arial"/>
          <w:sz w:val="24"/>
          <w:szCs w:val="24"/>
        </w:rPr>
        <w:t xml:space="preserve">, 10th </w:t>
      </w:r>
      <w:proofErr w:type="spellStart"/>
      <w:r w:rsidRPr="002E2643">
        <w:rPr>
          <w:rFonts w:ascii="Arial" w:hAnsi="Arial" w:cs="Arial"/>
          <w:sz w:val="24"/>
          <w:szCs w:val="24"/>
        </w:rPr>
        <w:t>ed</w:t>
      </w:r>
      <w:proofErr w:type="spellEnd"/>
      <w:r w:rsidRPr="002E26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E2643">
        <w:rPr>
          <w:rFonts w:ascii="Arial" w:hAnsi="Arial" w:cs="Arial"/>
          <w:sz w:val="24"/>
          <w:szCs w:val="24"/>
        </w:rPr>
        <w:t>Boston</w:t>
      </w:r>
      <w:proofErr w:type="spellEnd"/>
      <w:r w:rsidRPr="002E264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E2643">
        <w:rPr>
          <w:rFonts w:ascii="Arial" w:hAnsi="Arial" w:cs="Arial"/>
          <w:sz w:val="24"/>
          <w:szCs w:val="24"/>
        </w:rPr>
        <w:t>Allyn</w:t>
      </w:r>
      <w:proofErr w:type="spellEnd"/>
      <w:r w:rsidRPr="002E2643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2E2643">
        <w:rPr>
          <w:rFonts w:ascii="Arial" w:hAnsi="Arial" w:cs="Arial"/>
          <w:sz w:val="24"/>
          <w:szCs w:val="24"/>
        </w:rPr>
        <w:t>Bacon</w:t>
      </w:r>
      <w:proofErr w:type="spellEnd"/>
      <w:r w:rsidRPr="002E2643">
        <w:rPr>
          <w:rFonts w:ascii="Arial" w:hAnsi="Arial" w:cs="Arial"/>
          <w:sz w:val="24"/>
          <w:szCs w:val="24"/>
        </w:rPr>
        <w:t>, 2010.</w:t>
      </w:r>
    </w:p>
    <w:p w:rsidR="003D4FEE" w:rsidRPr="002E2643" w:rsidRDefault="003D4FEE" w:rsidP="002E2643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2E2643">
        <w:rPr>
          <w:rFonts w:ascii="Arial" w:hAnsi="Arial" w:cs="Arial"/>
          <w:b/>
          <w:sz w:val="24"/>
          <w:szCs w:val="24"/>
          <w:lang w:val="ru-RU"/>
        </w:rPr>
        <w:t>Форми</w:t>
      </w:r>
      <w:proofErr w:type="spellEnd"/>
      <w:r w:rsidRPr="002E2643">
        <w:rPr>
          <w:rFonts w:ascii="Arial" w:hAnsi="Arial" w:cs="Arial"/>
          <w:b/>
          <w:sz w:val="24"/>
          <w:szCs w:val="24"/>
          <w:lang w:val="ru-RU"/>
        </w:rPr>
        <w:t xml:space="preserve"> та </w:t>
      </w:r>
      <w:proofErr w:type="spellStart"/>
      <w:r w:rsidRPr="002E2643">
        <w:rPr>
          <w:rFonts w:ascii="Arial" w:hAnsi="Arial" w:cs="Arial"/>
          <w:b/>
          <w:sz w:val="24"/>
          <w:szCs w:val="24"/>
          <w:lang w:val="ru-RU"/>
        </w:rPr>
        <w:t>методи</w:t>
      </w:r>
      <w:proofErr w:type="spellEnd"/>
      <w:r w:rsidRPr="002E264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2E2643">
        <w:rPr>
          <w:rFonts w:ascii="Arial" w:hAnsi="Arial" w:cs="Arial"/>
          <w:b/>
          <w:sz w:val="24"/>
          <w:szCs w:val="24"/>
          <w:lang w:val="ru-RU"/>
        </w:rPr>
        <w:t>навчання</w:t>
      </w:r>
      <w:proofErr w:type="spellEnd"/>
      <w:r w:rsidRPr="002E2643">
        <w:rPr>
          <w:rFonts w:ascii="Arial" w:hAnsi="Arial" w:cs="Arial"/>
          <w:b/>
          <w:sz w:val="24"/>
          <w:szCs w:val="24"/>
          <w:lang w:val="ru-RU"/>
        </w:rPr>
        <w:t xml:space="preserve">: </w:t>
      </w:r>
      <w:proofErr w:type="spellStart"/>
      <w:r w:rsidRPr="002E2643">
        <w:rPr>
          <w:rFonts w:ascii="Arial" w:hAnsi="Arial" w:cs="Arial"/>
          <w:sz w:val="24"/>
          <w:szCs w:val="24"/>
          <w:lang w:val="ru-RU"/>
        </w:rPr>
        <w:t>лекції</w:t>
      </w:r>
      <w:proofErr w:type="spellEnd"/>
      <w:r w:rsidRPr="002E2643">
        <w:rPr>
          <w:rFonts w:ascii="Arial" w:hAnsi="Arial" w:cs="Arial"/>
          <w:b/>
          <w:sz w:val="24"/>
          <w:szCs w:val="24"/>
          <w:lang w:val="ru-RU"/>
        </w:rPr>
        <w:t xml:space="preserve">, </w:t>
      </w:r>
      <w:proofErr w:type="spellStart"/>
      <w:r w:rsidRPr="002E2643">
        <w:rPr>
          <w:rFonts w:ascii="Arial" w:hAnsi="Arial" w:cs="Arial"/>
          <w:sz w:val="24"/>
          <w:szCs w:val="24"/>
          <w:lang w:val="ru-RU"/>
        </w:rPr>
        <w:t>практичн</w:t>
      </w:r>
      <w:proofErr w:type="spellEnd"/>
      <w:r w:rsidRPr="002E2643">
        <w:rPr>
          <w:rFonts w:ascii="Arial" w:hAnsi="Arial" w:cs="Arial"/>
          <w:sz w:val="24"/>
          <w:szCs w:val="24"/>
        </w:rPr>
        <w:t>і заняття, самостійна робота</w:t>
      </w:r>
    </w:p>
    <w:p w:rsidR="003D4FEE" w:rsidRPr="002E2643" w:rsidRDefault="003D4FEE" w:rsidP="002E2643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 w:rsidRPr="002E2643">
        <w:rPr>
          <w:rFonts w:ascii="Arial" w:hAnsi="Arial" w:cs="Arial"/>
          <w:b/>
          <w:sz w:val="24"/>
          <w:szCs w:val="24"/>
        </w:rPr>
        <w:t>Методи та критерії оцінювання:</w:t>
      </w:r>
    </w:p>
    <w:p w:rsidR="003D4FEE" w:rsidRPr="002E2643" w:rsidRDefault="003D4FEE" w:rsidP="002E264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sz w:val="24"/>
          <w:szCs w:val="24"/>
        </w:rPr>
        <w:t xml:space="preserve">поточний контроль (80%): опитування на практичних заняттях, тестова перевірка знань, контрольні роботи; </w:t>
      </w:r>
    </w:p>
    <w:p w:rsidR="003D4FEE" w:rsidRPr="002E2643" w:rsidRDefault="003D4FEE" w:rsidP="002E264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sz w:val="24"/>
          <w:szCs w:val="24"/>
        </w:rPr>
        <w:t>підсумковий контроль (20%) – екзамен</w:t>
      </w:r>
    </w:p>
    <w:p w:rsidR="00857FB9" w:rsidRPr="002E2643" w:rsidRDefault="003D4FEE" w:rsidP="002E2643">
      <w:pPr>
        <w:tabs>
          <w:tab w:val="left" w:pos="36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E2643">
        <w:rPr>
          <w:rFonts w:ascii="Arial" w:hAnsi="Arial" w:cs="Arial"/>
          <w:sz w:val="24"/>
          <w:szCs w:val="24"/>
        </w:rPr>
        <w:t>14</w:t>
      </w:r>
      <w:r w:rsidRPr="002E2643">
        <w:rPr>
          <w:rFonts w:ascii="Arial" w:hAnsi="Arial" w:cs="Arial"/>
          <w:b/>
          <w:sz w:val="24"/>
          <w:szCs w:val="24"/>
        </w:rPr>
        <w:t>. Мова навчання:</w:t>
      </w:r>
      <w:r w:rsidRPr="002E2643">
        <w:rPr>
          <w:rFonts w:ascii="Arial" w:hAnsi="Arial" w:cs="Arial"/>
          <w:sz w:val="24"/>
          <w:szCs w:val="24"/>
        </w:rPr>
        <w:t xml:space="preserve"> українська</w:t>
      </w:r>
    </w:p>
    <w:sectPr w:rsidR="00857FB9" w:rsidRPr="002E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033"/>
    <w:multiLevelType w:val="hybridMultilevel"/>
    <w:tmpl w:val="D42AEB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93EC3"/>
    <w:multiLevelType w:val="hybridMultilevel"/>
    <w:tmpl w:val="120C941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F5D4002"/>
    <w:multiLevelType w:val="hybridMultilevel"/>
    <w:tmpl w:val="5CF20D68"/>
    <w:lvl w:ilvl="0" w:tplc="04F2398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B5AE4"/>
    <w:multiLevelType w:val="hybridMultilevel"/>
    <w:tmpl w:val="69D8F9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3CA2F9A">
      <w:start w:val="1"/>
      <w:numFmt w:val="bullet"/>
      <w:lvlText w:val="−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A991947"/>
    <w:multiLevelType w:val="hybridMultilevel"/>
    <w:tmpl w:val="CD00085A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21"/>
    <w:rsid w:val="000737AB"/>
    <w:rsid w:val="002A5282"/>
    <w:rsid w:val="002E2643"/>
    <w:rsid w:val="003D4FEE"/>
    <w:rsid w:val="004C397B"/>
    <w:rsid w:val="00623F21"/>
    <w:rsid w:val="006B7D40"/>
    <w:rsid w:val="00857FB9"/>
    <w:rsid w:val="00A55064"/>
    <w:rsid w:val="00CB614C"/>
    <w:rsid w:val="00D839B4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AS1551</dc:creator>
  <cp:keywords/>
  <dc:description/>
  <cp:lastModifiedBy>Таня</cp:lastModifiedBy>
  <cp:revision>11</cp:revision>
  <dcterms:created xsi:type="dcterms:W3CDTF">2015-10-08T05:57:00Z</dcterms:created>
  <dcterms:modified xsi:type="dcterms:W3CDTF">2015-10-26T20:17:00Z</dcterms:modified>
</cp:coreProperties>
</file>